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3" w:rsidRDefault="003A1433" w:rsidP="003A1433">
      <w:pPr>
        <w:spacing w:after="0"/>
        <w:rPr>
          <w:b/>
        </w:rPr>
      </w:pPr>
      <w:r>
        <w:rPr>
          <w:b/>
        </w:rPr>
        <w:t xml:space="preserve">PROJEKTI </w:t>
      </w:r>
      <w:r w:rsidR="00987404">
        <w:rPr>
          <w:b/>
        </w:rPr>
        <w:t>CLLD – EVROPSKI SKLAD ZA REGIONALNI RAZVOJ</w:t>
      </w:r>
    </w:p>
    <w:p w:rsidR="008C0D65" w:rsidRPr="009A001D" w:rsidRDefault="008C0D65" w:rsidP="008C0D65">
      <w:pPr>
        <w:spacing w:after="0"/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2BDF271C" wp14:editId="2AEC300B">
            <wp:extent cx="1930082" cy="752475"/>
            <wp:effectExtent l="0" t="0" r="0" b="0"/>
            <wp:docPr id="3" name="Slika 3" descr="C:\Users\Josip\Desktop\OZNAČEVANJE IN LOGOTIPI\CLLD_vodoravno_CMYK-modr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p\Desktop\OZNAČEVANJE IN LOGOTIPI\CLLD_vodoravno_CMYK-mod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47" cy="7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l-SI"/>
        </w:rPr>
        <w:drawing>
          <wp:inline distT="0" distB="0" distL="0" distR="0" wp14:anchorId="41FBEBCA" wp14:editId="78917D65">
            <wp:extent cx="1690227" cy="818703"/>
            <wp:effectExtent l="0" t="0" r="5715" b="635"/>
            <wp:docPr id="2" name="Slika 2" descr="D:\ARHIV LAS SMP 2014 2020\LAS 2018\LOGOTIPI\LOGO LAS SM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HIV LAS SMP 2014 2020\LAS 2018\LOGOTIPI\LOGO LAS S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59" cy="8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987404">
        <w:rPr>
          <w:noProof/>
          <w:lang w:eastAsia="sl-SI"/>
        </w:rPr>
        <w:drawing>
          <wp:inline distT="0" distB="0" distL="0" distR="0" wp14:anchorId="7D7222D6" wp14:editId="1EAF5EC2">
            <wp:extent cx="2238375" cy="952500"/>
            <wp:effectExtent l="19050" t="19050" r="28575" b="19050"/>
            <wp:docPr id="8" name="Slika 8" descr="C:\Users\Josip\AppData\Local\Microsoft\Windows\INetCache\Content.Word\Logo_EKP_sklad_za_regionalni_razvoj_SLO_sloga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AppData\Local\Microsoft\Windows\INetCache\Content.Word\Logo_EKP_sklad_za_regionalni_razvoj_SLO_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1" t="12592" r="6068" b="13333"/>
                    <a:stretch/>
                  </pic:blipFill>
                  <pic:spPr bwMode="auto">
                    <a:xfrm>
                      <a:off x="0" y="0"/>
                      <a:ext cx="2241804" cy="95395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433" w:rsidRDefault="003A1433" w:rsidP="003A1433">
      <w:pPr>
        <w:spacing w:after="0"/>
        <w:rPr>
          <w:b/>
          <w:u w:val="single"/>
        </w:rPr>
      </w:pPr>
      <w:r>
        <w:rPr>
          <w:b/>
        </w:rPr>
        <w:t xml:space="preserve">NAZIV PROJEKTA: </w:t>
      </w:r>
      <w:r w:rsidR="006D49D9" w:rsidRPr="005D43F9">
        <w:rPr>
          <w:b/>
          <w:u w:val="single"/>
        </w:rPr>
        <w:t>UREDITEV IN DELOVANJE LOKALNE TRŽNICE ŠKOFLJICA</w:t>
      </w:r>
    </w:p>
    <w:p w:rsidR="00987404" w:rsidRDefault="00987404" w:rsidP="003A1433">
      <w:pPr>
        <w:spacing w:after="0"/>
        <w:rPr>
          <w:noProof/>
          <w:lang w:eastAsia="sl-SI"/>
        </w:rPr>
      </w:pPr>
    </w:p>
    <w:p w:rsidR="00163DAC" w:rsidRDefault="00987404" w:rsidP="003A1433">
      <w:pPr>
        <w:spacing w:after="0"/>
        <w:rPr>
          <w:b/>
          <w:u w:val="single"/>
        </w:rPr>
      </w:pPr>
      <w:r w:rsidRPr="00987404">
        <w:rPr>
          <w:b/>
        </w:rPr>
        <w:t>NOSILEC PROJEKTA:</w:t>
      </w:r>
      <w:r>
        <w:rPr>
          <w:b/>
          <w:u w:val="single"/>
        </w:rPr>
        <w:t xml:space="preserve"> OBČINA ŠKOFLJICA</w:t>
      </w:r>
    </w:p>
    <w:p w:rsidR="005D43F9" w:rsidRDefault="005D43F9" w:rsidP="005D43F9">
      <w:pPr>
        <w:spacing w:after="0"/>
        <w:rPr>
          <w:b/>
        </w:rPr>
      </w:pPr>
      <w:r>
        <w:rPr>
          <w:b/>
        </w:rPr>
        <w:t xml:space="preserve">Partnerji v projektu: </w:t>
      </w:r>
      <w:r w:rsidRPr="005D43F9">
        <w:rPr>
          <w:b/>
        </w:rPr>
        <w:t>Pekarstvo</w:t>
      </w:r>
      <w:r>
        <w:rPr>
          <w:b/>
        </w:rPr>
        <w:t xml:space="preserve"> in trgovina, Janja Štrumbelj  </w:t>
      </w:r>
      <w:r w:rsidRPr="005D43F9">
        <w:rPr>
          <w:b/>
        </w:rPr>
        <w:t>s.p.</w:t>
      </w:r>
      <w:r>
        <w:rPr>
          <w:b/>
        </w:rPr>
        <w:t xml:space="preserve"> in </w:t>
      </w:r>
      <w:r w:rsidRPr="005D43F9">
        <w:rPr>
          <w:b/>
        </w:rPr>
        <w:t>Društvo ljubiteljev potice</w:t>
      </w:r>
      <w:r>
        <w:rPr>
          <w:b/>
        </w:rPr>
        <w:t>.</w:t>
      </w:r>
    </w:p>
    <w:p w:rsidR="005D43F9" w:rsidRDefault="005D43F9" w:rsidP="00017AA9">
      <w:pPr>
        <w:spacing w:after="0"/>
        <w:rPr>
          <w:b/>
        </w:rPr>
      </w:pPr>
      <w:bookmarkStart w:id="0" w:name="_GoBack"/>
      <w:bookmarkEnd w:id="0"/>
    </w:p>
    <w:p w:rsidR="00654FB8" w:rsidRPr="00017AA9" w:rsidRDefault="00654FB8" w:rsidP="00017AA9">
      <w:pPr>
        <w:spacing w:after="0"/>
        <w:rPr>
          <w:b/>
        </w:rPr>
      </w:pPr>
      <w:r w:rsidRPr="00017AA9">
        <w:rPr>
          <w:b/>
        </w:rPr>
        <w:t>CILJI</w:t>
      </w:r>
      <w:r w:rsidR="00017AA9">
        <w:rPr>
          <w:b/>
        </w:rPr>
        <w:t xml:space="preserve"> PROJEKTA</w:t>
      </w:r>
      <w:r w:rsidRPr="00017AA9">
        <w:rPr>
          <w:b/>
        </w:rPr>
        <w:t xml:space="preserve">: </w:t>
      </w:r>
    </w:p>
    <w:p w:rsidR="00FF4961" w:rsidRDefault="00FF4961">
      <w:pPr>
        <w:rPr>
          <w:b/>
        </w:rPr>
      </w:pPr>
      <w:r>
        <w:t xml:space="preserve">Izvedba projekta prispeva k tematskemu področju Strategije lokalnega razvoja: </w:t>
      </w:r>
      <w:r w:rsidR="005D43F9">
        <w:t>Ustvarjanje delovnih mest</w:t>
      </w:r>
      <w:r>
        <w:t xml:space="preserve"> in uresničuje cilj </w:t>
      </w:r>
      <w:r w:rsidR="005D43F9" w:rsidRPr="005D43F9">
        <w:rPr>
          <w:u w:val="single"/>
        </w:rPr>
        <w:t>Nenehno prilagajanje in omogočanje pogojev za ustvarjanje novih delovnih mest in izboljšanje zaposlitvenih možnosti z zagotavljanjem nenehnega dostopa do specifičnih znanj in spretnosti potrebnih v družbi znanja</w:t>
      </w:r>
      <w:r w:rsidR="005D43F9">
        <w:rPr>
          <w:u w:val="single"/>
        </w:rPr>
        <w:t xml:space="preserve"> </w:t>
      </w:r>
      <w:r w:rsidR="00E86E51">
        <w:t xml:space="preserve">v okviru ukrepa: </w:t>
      </w:r>
      <w:r w:rsidR="005D43F9">
        <w:rPr>
          <w:b/>
        </w:rPr>
        <w:t>S</w:t>
      </w:r>
      <w:r w:rsidR="005D43F9" w:rsidRPr="005D43F9">
        <w:rPr>
          <w:b/>
        </w:rPr>
        <w:t>podbujanje in omogočanje uresničevanja novih poslovnih zamisli</w:t>
      </w:r>
      <w:r w:rsidR="00E86E51" w:rsidRPr="00E86E51">
        <w:rPr>
          <w:b/>
        </w:rPr>
        <w:t>.</w:t>
      </w:r>
    </w:p>
    <w:p w:rsidR="00BC662B" w:rsidRDefault="00BC662B" w:rsidP="00BC662B">
      <w:pPr>
        <w:spacing w:after="0"/>
      </w:pPr>
      <w:r w:rsidRPr="00EC0A39">
        <w:t>Škofljica in Lavrica sta naselji</w:t>
      </w:r>
      <w:r>
        <w:t xml:space="preserve"> v občini Škofljica</w:t>
      </w:r>
      <w:r w:rsidRPr="00EC0A39">
        <w:t>, ki imata najhitreje rastoče priselitve v Sloveniji.</w:t>
      </w:r>
      <w:r>
        <w:t xml:space="preserve"> Hitremu porastu števila prebivalcev pa ni enakovredno sledilo</w:t>
      </w:r>
      <w:r w:rsidRPr="00EC0A39">
        <w:t xml:space="preserve"> </w:t>
      </w:r>
      <w:r>
        <w:t xml:space="preserve">tudi oblikovanje ponudbe in storitev za prebivalce. Kljub posameznim poskusom v preteklosti pa v omenjenih naseljih ni lokalne tržnice. In prav zato je bilo oblikovano partnerstvo, ki bo z izvedbo operacije omogočilo  </w:t>
      </w:r>
      <w:r w:rsidR="00EF4413">
        <w:t>oblikovanje nove potrošniške miselnosti, ki ceni lokalno, tradicionalno in družbeno odgovorno ravnanje do okolja in človeka in skrajšuje dobavne verige.</w:t>
      </w:r>
    </w:p>
    <w:p w:rsidR="00BC662B" w:rsidRDefault="00BC662B" w:rsidP="00017AA9">
      <w:pPr>
        <w:spacing w:after="0"/>
        <w:rPr>
          <w:b/>
        </w:rPr>
      </w:pPr>
    </w:p>
    <w:p w:rsidR="00654FB8" w:rsidRPr="00017AA9" w:rsidRDefault="00FF4961" w:rsidP="00017AA9">
      <w:pPr>
        <w:spacing w:after="0"/>
        <w:rPr>
          <w:b/>
        </w:rPr>
      </w:pPr>
      <w:r w:rsidRPr="00017AA9">
        <w:rPr>
          <w:b/>
        </w:rPr>
        <w:t>OPIS</w:t>
      </w:r>
      <w:r w:rsidR="00017AA9">
        <w:rPr>
          <w:b/>
        </w:rPr>
        <w:t xml:space="preserve"> PROJEKTA</w:t>
      </w:r>
      <w:r w:rsidRPr="00017AA9">
        <w:rPr>
          <w:b/>
        </w:rPr>
        <w:t>:</w:t>
      </w:r>
    </w:p>
    <w:p w:rsidR="00B16001" w:rsidRDefault="00B16001" w:rsidP="00B16001">
      <w:pPr>
        <w:spacing w:after="0"/>
      </w:pPr>
      <w:r>
        <w:t xml:space="preserve">Ureditev in delovanje tržnice Škofljica skupaj z nastalim partnerstvom in podjetniško kulinarično učilnico na nov način (ki do sedaj še ni obstajal) organizira domačine za krepitev podjetniške miselnosti, konkurenčnosti in ustvarjanje dodane vrednosti. </w:t>
      </w:r>
    </w:p>
    <w:p w:rsidR="00B16001" w:rsidRDefault="00B16001" w:rsidP="00B16001">
      <w:pPr>
        <w:spacing w:after="0"/>
      </w:pPr>
      <w:r>
        <w:t>Lokalna tržnica in učilnica postajata platforme za ozaveščanje in informiranje lokalnih prebivalcev za uporabo lokalnih virov in za zdrav način življenja.</w:t>
      </w:r>
      <w:r w:rsidR="00987404">
        <w:t xml:space="preserve"> </w:t>
      </w:r>
      <w:r>
        <w:t>Tržnica je urejena in organizirana tudi za dostop ranljivih skupin.</w:t>
      </w:r>
      <w:r w:rsidR="00987404">
        <w:t xml:space="preserve"> </w:t>
      </w:r>
      <w:r>
        <w:t>Projekt promovira in spodbuja pridobivanje neformalnih, tradicionalnih, podjetniških znanj ter prispeva k hitrejšemu prilagajanju družbenim spremembam.</w:t>
      </w:r>
      <w:r w:rsidR="00987404">
        <w:t xml:space="preserve"> </w:t>
      </w:r>
      <w:r>
        <w:t>Tržnica postaja hkrati tržni in družabni prostor.</w:t>
      </w:r>
    </w:p>
    <w:p w:rsidR="00B16001" w:rsidRDefault="00B16001" w:rsidP="00017AA9">
      <w:pPr>
        <w:spacing w:after="0"/>
        <w:rPr>
          <w:b/>
        </w:rPr>
      </w:pPr>
    </w:p>
    <w:p w:rsidR="00F74A84" w:rsidRPr="00017AA9" w:rsidRDefault="00F74A84" w:rsidP="00017AA9">
      <w:pPr>
        <w:spacing w:after="0"/>
        <w:rPr>
          <w:b/>
        </w:rPr>
      </w:pPr>
      <w:r w:rsidRPr="00017AA9">
        <w:rPr>
          <w:b/>
        </w:rPr>
        <w:t>PRIČAKOVANI REZULTATI</w:t>
      </w:r>
      <w:r w:rsidR="00017AA9">
        <w:rPr>
          <w:b/>
        </w:rPr>
        <w:t xml:space="preserve"> PROJEKTA</w:t>
      </w:r>
    </w:p>
    <w:p w:rsidR="003C3B80" w:rsidRDefault="003C3B80" w:rsidP="003C3B80">
      <w:pPr>
        <w:spacing w:after="0"/>
      </w:pPr>
      <w:r>
        <w:t>Urejen, opremljen in delujoč prostor tržnice Škofljica (990m2).</w:t>
      </w:r>
      <w:r w:rsidR="00987404">
        <w:t xml:space="preserve"> </w:t>
      </w:r>
      <w:r>
        <w:t>Urejena in opremljena učilnica za kulinariko (36m2).</w:t>
      </w:r>
      <w:r w:rsidR="00987404">
        <w:t xml:space="preserve"> </w:t>
      </w:r>
      <w:r>
        <w:t>Oblikovano Partnerstvo za trajno delovanje tržnice Škofljica in izbran upravljavec.</w:t>
      </w:r>
    </w:p>
    <w:p w:rsidR="003C3B80" w:rsidRDefault="003C3B80" w:rsidP="00AD7E78">
      <w:pPr>
        <w:spacing w:after="0"/>
      </w:pPr>
      <w:r>
        <w:t>Elaborat možnosti oskrbe tržnice Škofljica z lokalnimi proizvodi in storitvami ter akcijski načrt partnerstva za delovanje tržnice.</w:t>
      </w:r>
      <w:r w:rsidR="00987404">
        <w:t xml:space="preserve"> </w:t>
      </w:r>
      <w:r>
        <w:t>Izvedeno 1 podjetniško usposabljanje.</w:t>
      </w:r>
      <w:r w:rsidR="00987404">
        <w:t xml:space="preserve"> </w:t>
      </w:r>
      <w:r>
        <w:t xml:space="preserve">Izveden zeleni program ozaveščanja in informiranja prebivalcev na tržnici Škofljica – 12 dogodkov. </w:t>
      </w:r>
    </w:p>
    <w:p w:rsidR="003C3B80" w:rsidRDefault="003C3B80" w:rsidP="00AD7E78">
      <w:pPr>
        <w:spacing w:after="0"/>
      </w:pPr>
    </w:p>
    <w:p w:rsidR="00AD7E78" w:rsidRPr="00B6163E" w:rsidRDefault="00AD7E78" w:rsidP="00AD7E78">
      <w:pPr>
        <w:spacing w:after="0"/>
        <w:rPr>
          <w:b/>
        </w:rPr>
      </w:pPr>
      <w:r w:rsidRPr="00B6163E">
        <w:rPr>
          <w:b/>
        </w:rPr>
        <w:t xml:space="preserve">Odobreni znesek sofinanciranja </w:t>
      </w:r>
      <w:r>
        <w:rPr>
          <w:b/>
        </w:rPr>
        <w:t>t</w:t>
      </w:r>
      <w:r w:rsidR="00EF4413">
        <w:rPr>
          <w:b/>
        </w:rPr>
        <w:t>er stopnja sofinanciranja: do 141.998,20 € oz. v višini 80</w:t>
      </w:r>
      <w:r w:rsidRPr="00B6163E">
        <w:rPr>
          <w:b/>
        </w:rPr>
        <w:t xml:space="preserve"> % skupnih upravičenih stroškov operacije.</w:t>
      </w:r>
    </w:p>
    <w:p w:rsidR="00017AA9" w:rsidRPr="00654FB8" w:rsidRDefault="00017AA9" w:rsidP="007B6BAE">
      <w:pPr>
        <w:spacing w:after="0"/>
      </w:pPr>
    </w:p>
    <w:sectPr w:rsidR="00017AA9" w:rsidRPr="00654FB8" w:rsidSect="00163DA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A1" w:rsidRDefault="00BF18A1" w:rsidP="008C0D65">
      <w:pPr>
        <w:spacing w:after="0" w:line="240" w:lineRule="auto"/>
      </w:pPr>
      <w:r>
        <w:separator/>
      </w:r>
    </w:p>
  </w:endnote>
  <w:endnote w:type="continuationSeparator" w:id="0">
    <w:p w:rsidR="00BF18A1" w:rsidRDefault="00BF18A1" w:rsidP="008C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A1" w:rsidRDefault="00BF18A1" w:rsidP="008C0D65">
      <w:pPr>
        <w:spacing w:after="0" w:line="240" w:lineRule="auto"/>
      </w:pPr>
      <w:r>
        <w:separator/>
      </w:r>
    </w:p>
  </w:footnote>
  <w:footnote w:type="continuationSeparator" w:id="0">
    <w:p w:rsidR="00BF18A1" w:rsidRDefault="00BF18A1" w:rsidP="008C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D2"/>
    <w:rsid w:val="00017AA9"/>
    <w:rsid w:val="00064CD2"/>
    <w:rsid w:val="00083293"/>
    <w:rsid w:val="000D7F6C"/>
    <w:rsid w:val="00100570"/>
    <w:rsid w:val="00163DAC"/>
    <w:rsid w:val="003A1433"/>
    <w:rsid w:val="003C3B80"/>
    <w:rsid w:val="003C5E9D"/>
    <w:rsid w:val="00472B2F"/>
    <w:rsid w:val="004D581D"/>
    <w:rsid w:val="004D5DAC"/>
    <w:rsid w:val="005D43F9"/>
    <w:rsid w:val="00654FB8"/>
    <w:rsid w:val="006D49D9"/>
    <w:rsid w:val="007B6BAE"/>
    <w:rsid w:val="008C0D65"/>
    <w:rsid w:val="00987404"/>
    <w:rsid w:val="00A42AA0"/>
    <w:rsid w:val="00AD7E78"/>
    <w:rsid w:val="00AF7626"/>
    <w:rsid w:val="00B03F59"/>
    <w:rsid w:val="00B16001"/>
    <w:rsid w:val="00B77BD5"/>
    <w:rsid w:val="00BC662B"/>
    <w:rsid w:val="00BE3AB7"/>
    <w:rsid w:val="00BF18A1"/>
    <w:rsid w:val="00BF75F5"/>
    <w:rsid w:val="00C96013"/>
    <w:rsid w:val="00DB77DD"/>
    <w:rsid w:val="00E86E51"/>
    <w:rsid w:val="00EC0A39"/>
    <w:rsid w:val="00EF4413"/>
    <w:rsid w:val="00F74A84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AA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C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0D65"/>
  </w:style>
  <w:style w:type="paragraph" w:styleId="Noga">
    <w:name w:val="footer"/>
    <w:basedOn w:val="Navaden"/>
    <w:link w:val="NogaZnak"/>
    <w:uiPriority w:val="99"/>
    <w:unhideWhenUsed/>
    <w:rsid w:val="008C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AA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C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0D65"/>
  </w:style>
  <w:style w:type="paragraph" w:styleId="Noga">
    <w:name w:val="footer"/>
    <w:basedOn w:val="Navaden"/>
    <w:link w:val="NogaZnak"/>
    <w:uiPriority w:val="99"/>
    <w:unhideWhenUsed/>
    <w:rsid w:val="008C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gram-podezelja.si/sl/knjiznica/291-lokalne-akcijske-skupine-v-sloveniji-v-programskem-obdobju-2014-2020/file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u-skladi.s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as-smp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5</cp:revision>
  <dcterms:created xsi:type="dcterms:W3CDTF">2019-05-20T08:03:00Z</dcterms:created>
  <dcterms:modified xsi:type="dcterms:W3CDTF">2019-12-16T11:15:00Z</dcterms:modified>
</cp:coreProperties>
</file>